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6DDBB265" w14:textId="77777777" w:rsidTr="009A476D">
        <w:tc>
          <w:tcPr>
            <w:tcW w:w="2263" w:type="dxa"/>
          </w:tcPr>
          <w:p w14:paraId="40366974" w14:textId="5DC144B1" w:rsidR="0041512A" w:rsidRDefault="00282A5F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02786182" w14:textId="77777777" w:rsidR="0041512A" w:rsidRDefault="00C92D90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oggetti di valore storico o artistico</w:t>
            </w:r>
          </w:p>
        </w:tc>
        <w:tc>
          <w:tcPr>
            <w:tcW w:w="1559" w:type="dxa"/>
          </w:tcPr>
          <w:p w14:paraId="5F41796A" w14:textId="066F3014" w:rsidR="0041512A" w:rsidRPr="0041512A" w:rsidRDefault="00B8617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66E39777" w14:textId="77777777" w:rsidTr="009A476D">
        <w:tc>
          <w:tcPr>
            <w:tcW w:w="9209" w:type="dxa"/>
            <w:gridSpan w:val="3"/>
          </w:tcPr>
          <w:p w14:paraId="2057CA33" w14:textId="13FDE885" w:rsidR="00A81D46" w:rsidRPr="00C92D90" w:rsidRDefault="00041E7E" w:rsidP="00A81D4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2F4C398" w14:textId="113547D3" w:rsidR="00C92D90" w:rsidRPr="00C92D90" w:rsidRDefault="00C92D90" w:rsidP="00C92D90">
            <w:pPr>
              <w:autoSpaceDE w:val="0"/>
              <w:autoSpaceDN w:val="0"/>
              <w:adjustRightInd w:val="0"/>
              <w:spacing w:after="12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92D90">
              <w:rPr>
                <w:color w:val="000000"/>
                <w:sz w:val="20"/>
                <w:szCs w:val="20"/>
                <w:u w:val="none"/>
              </w:rPr>
              <w:t xml:space="preserve">L’articolo 6, del </w:t>
            </w:r>
            <w:proofErr w:type="spellStart"/>
            <w:r w:rsidRPr="00C92D90">
              <w:rPr>
                <w:color w:val="000000"/>
                <w:sz w:val="20"/>
                <w:szCs w:val="20"/>
                <w:u w:val="none"/>
              </w:rPr>
              <w:t>DLgs</w:t>
            </w:r>
            <w:proofErr w:type="spellEnd"/>
            <w:r w:rsidRPr="00C92D90">
              <w:rPr>
                <w:color w:val="000000"/>
                <w:sz w:val="20"/>
                <w:szCs w:val="20"/>
                <w:u w:val="none"/>
              </w:rPr>
              <w:t xml:space="preserve"> 222 del 25 novembre 2016, ha abrogato la necessità di presentare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dichiarazione preventiva al Sindaco per esercitare la vendita di oggetti usati. Ne consegue che, fatte salve le attività di cui ai punti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 xml:space="preserve">successivi) la vendita di oggetti usati soggiace solo alla normativa afferente </w:t>
            </w:r>
            <w:r w:rsidR="00AB3700" w:rsidRPr="00C92D90">
              <w:rPr>
                <w:color w:val="000000"/>
                <w:sz w:val="20"/>
                <w:szCs w:val="20"/>
                <w:u w:val="none"/>
              </w:rPr>
              <w:t>all’esercizio</w:t>
            </w:r>
            <w:r w:rsidRPr="00C92D90">
              <w:rPr>
                <w:color w:val="000000"/>
                <w:sz w:val="20"/>
                <w:szCs w:val="20"/>
                <w:u w:val="none"/>
              </w:rPr>
              <w:t xml:space="preserve"> dell’attività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commerciale di vendita al dettaglio (Vicinato, Media e Grande struttura di vendita, Forme speciali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vendita).</w:t>
            </w:r>
          </w:p>
          <w:p w14:paraId="6300797B" w14:textId="77777777" w:rsidR="00C92D90" w:rsidRPr="00C92D90" w:rsidRDefault="00C92D90" w:rsidP="00C92D90">
            <w:pPr>
              <w:autoSpaceDE w:val="0"/>
              <w:autoSpaceDN w:val="0"/>
              <w:adjustRightInd w:val="0"/>
              <w:spacing w:after="120"/>
              <w:ind w:left="174" w:right="318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C92D90"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  <w:t xml:space="preserve">Vendita di preziosi antichi o usati -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La vendita di oggetti preziosi antichi o usati restano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sottoposti all’abilitazione commerciale ed alla </w:t>
            </w:r>
            <w:r w:rsidRPr="00C92D90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licenza di vendita preziosi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da parte del Questore.</w:t>
            </w:r>
          </w:p>
          <w:p w14:paraId="7740BF92" w14:textId="5E49DBA9" w:rsidR="00A81D46" w:rsidRPr="00C92D90" w:rsidRDefault="00C92D90" w:rsidP="00C92D90">
            <w:pPr>
              <w:autoSpaceDE w:val="0"/>
              <w:autoSpaceDN w:val="0"/>
              <w:adjustRightInd w:val="0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92D90"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  <w:t xml:space="preserve">Vendita oggetti a valore storico o artistico -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Oggetti con valore storico o artistico (cioè con oltre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 xml:space="preserve">70 anni), autovetture d’epoca (cioè con oltre 75 anni), elencati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nell’allegato A) </w:t>
            </w:r>
            <w:r w:rsidRPr="00C92D90">
              <w:rPr>
                <w:color w:val="000000"/>
                <w:sz w:val="20"/>
                <w:szCs w:val="20"/>
                <w:u w:val="none"/>
              </w:rPr>
              <w:t xml:space="preserve">del </w:t>
            </w:r>
            <w:proofErr w:type="spellStart"/>
            <w:r w:rsidRPr="00C92D90">
              <w:rPr>
                <w:color w:val="000000"/>
                <w:sz w:val="20"/>
                <w:szCs w:val="20"/>
                <w:u w:val="none"/>
              </w:rPr>
              <w:t>DLgs</w:t>
            </w:r>
            <w:proofErr w:type="spellEnd"/>
            <w:r w:rsidRPr="00C92D90">
              <w:rPr>
                <w:color w:val="000000"/>
                <w:sz w:val="20"/>
                <w:szCs w:val="20"/>
                <w:u w:val="none"/>
              </w:rPr>
              <w:t xml:space="preserve"> 22/01/2004, n. 42,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restano soggetti alla dichiarazione preventiva </w:t>
            </w:r>
            <w:r w:rsidRPr="00C92D90">
              <w:rPr>
                <w:color w:val="000000"/>
                <w:sz w:val="20"/>
                <w:szCs w:val="20"/>
                <w:u w:val="none"/>
              </w:rPr>
              <w:t xml:space="preserve">e registrazione ai sensi del </w:t>
            </w:r>
            <w:r w:rsidRPr="00C92D9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Capo IV, sezione III</w:t>
            </w:r>
            <w:r w:rsidRPr="00C92D90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  <w:t xml:space="preserve">,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dello stesso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Decreto.</w:t>
            </w:r>
            <w:r w:rsidR="00041E7E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La dichiarazione preventiva va inoltrata all’autorità locale di Pubblica Sicurezza (Sindaco) e l’attività può essere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92D90">
              <w:rPr>
                <w:color w:val="000000"/>
                <w:sz w:val="20"/>
                <w:szCs w:val="20"/>
                <w:u w:val="none"/>
              </w:rPr>
              <w:t>esercitata ad avvenuta ricevuta della dichiarazione da parte del SUAP.</w:t>
            </w:r>
          </w:p>
          <w:p w14:paraId="0A023FC0" w14:textId="77777777" w:rsidR="00A81D46" w:rsidRPr="00041E7E" w:rsidRDefault="00A81D46" w:rsidP="00A81D46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bookmarkStart w:id="0" w:name="_Hlk63093880"/>
          <w:p w14:paraId="13545808" w14:textId="2C183591" w:rsidR="00C92D90" w:rsidRPr="00041E7E" w:rsidRDefault="00041E7E" w:rsidP="00C92D90">
            <w:pPr>
              <w:spacing w:after="120"/>
              <w:ind w:left="174"/>
              <w:rPr>
                <w:b/>
                <w:color w:val="0000FF"/>
              </w:rPr>
            </w:pPr>
            <w:r>
              <w:rPr>
                <w:b/>
                <w:color w:val="C00000"/>
              </w:rPr>
              <w:fldChar w:fldCharType="begin"/>
            </w:r>
            <w:r w:rsidR="00B11D8D">
              <w:rPr>
                <w:b/>
                <w:color w:val="C00000"/>
              </w:rPr>
              <w:instrText>HYPERLINK "Definizioni/26PA%20Classificazione%20oggetti%20usati%20storici%20o%20artistici.pdf"</w:instrText>
            </w:r>
            <w:r>
              <w:rPr>
                <w:b/>
                <w:color w:val="C00000"/>
              </w:rPr>
              <w:fldChar w:fldCharType="separate"/>
            </w:r>
            <w:r w:rsidR="00C92D90" w:rsidRPr="00041E7E">
              <w:rPr>
                <w:rStyle w:val="Collegamentoipertestuale"/>
                <w:b/>
              </w:rPr>
              <w:t>Classificazione oggetti usati</w:t>
            </w:r>
            <w:r w:rsidR="00C92D90" w:rsidRPr="00041E7E">
              <w:rPr>
                <w:rStyle w:val="Collegamentoipertestuale"/>
                <w:b/>
              </w:rPr>
              <w:t xml:space="preserve"> </w:t>
            </w:r>
            <w:r w:rsidR="00C92D90" w:rsidRPr="00041E7E">
              <w:rPr>
                <w:rStyle w:val="Collegamentoipertestuale"/>
                <w:b/>
              </w:rPr>
              <w:t>storici o artistici</w:t>
            </w:r>
            <w:r>
              <w:rPr>
                <w:b/>
                <w:color w:val="C00000"/>
              </w:rPr>
              <w:fldChar w:fldCharType="end"/>
            </w:r>
          </w:p>
          <w:bookmarkEnd w:id="0"/>
          <w:p w14:paraId="535B8B97" w14:textId="77777777" w:rsidR="00D96248" w:rsidRPr="00041E7E" w:rsidRDefault="00D96248" w:rsidP="00D96248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7A06F62B" w14:textId="77777777" w:rsidR="00651349" w:rsidRPr="00041E7E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041E7E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781ED969" w14:textId="452672C1" w:rsidR="00D96248" w:rsidRPr="00D96248" w:rsidRDefault="00D96248" w:rsidP="00D96248">
            <w:pPr>
              <w:spacing w:after="120" w:line="270" w:lineRule="atLeast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9624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D9624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o istanza</w:t>
            </w:r>
            <w:r w:rsidRPr="00D9624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 attivare l’attività di </w:t>
            </w:r>
            <w:hyperlink r:id="rId6" w:history="1">
              <w:r w:rsidRPr="00D9624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vendita al dettag</w:t>
              </w:r>
              <w:r w:rsidRPr="00D9624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l</w:t>
              </w:r>
              <w:r w:rsidRPr="00D96248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io di oggetti usati</w:t>
              </w:r>
            </w:hyperlink>
            <w:r w:rsidRPr="00D9624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occorre presentare</w:t>
            </w:r>
            <w:r w:rsidRPr="00D96248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D96248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all’autorità locale di PS</w:t>
            </w:r>
            <w:r w:rsidRPr="00D96248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D9624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dichiarazione preventiva del commercio di oggetti usati di valore storico o artistico. La dichiarazione deve essere allegata alla SCIA Condizionata di inizio dell’attività o Istanza che il SUAP inoltrerà alla Sovrintendenza e alla Regione.</w:t>
            </w:r>
          </w:p>
          <w:p w14:paraId="528792D8" w14:textId="1DA33C85" w:rsidR="00D96248" w:rsidRPr="00D96248" w:rsidRDefault="00D96248" w:rsidP="00D96248">
            <w:pPr>
              <w:ind w:left="174" w:right="318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fldChar w:fldCharType="begin"/>
            </w:r>
            <w:r w:rsidR="00B11D8D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instrText>HYPERLINK "Modulistica/11PA%20Dichiarazione%20di%20cose%20storiche%20o%20artistiche.pdf"</w:instrText>
            </w:r>
            <w:r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fldChar w:fldCharType="separate"/>
            </w:r>
            <w:r w:rsidRPr="00D9624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Dichiarazione preventiva del comm</w:t>
            </w:r>
            <w:r w:rsidRPr="00D9624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e</w:t>
            </w:r>
            <w:r w:rsidRPr="00D9624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rcio di oggetti usati di valore storico o artistico</w:t>
            </w:r>
            <w:r w:rsidRPr="00D96248">
              <w:rPr>
                <w:rStyle w:val="Collegamentoipertestuale"/>
                <w:rFonts w:eastAsia="Times New Roman"/>
                <w:sz w:val="20"/>
                <w:szCs w:val="20"/>
                <w:lang w:eastAsia="it-IT"/>
              </w:rPr>
              <w:t>.</w:t>
            </w:r>
          </w:p>
          <w:p w14:paraId="3619527E" w14:textId="77777777" w:rsidR="00C8385A" w:rsidRDefault="00D96248" w:rsidP="00D96248">
            <w:pPr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fldChar w:fldCharType="end"/>
            </w:r>
            <w:r w:rsidR="00E61C9E" w:rsidRPr="00E61C9E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 </w:t>
            </w:r>
          </w:p>
          <w:p w14:paraId="0E702EB3" w14:textId="3848EDD2" w:rsidR="008856C8" w:rsidRPr="00744B7C" w:rsidRDefault="00B86172" w:rsidP="008856C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7" w:history="1">
              <w:r w:rsidR="008856C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8856C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8856C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ECO</w:t>
              </w:r>
            </w:hyperlink>
            <w:r w:rsidR="008856C8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8856C8">
              <w:rPr>
                <w:b/>
                <w:color w:val="auto"/>
                <w:sz w:val="20"/>
                <w:szCs w:val="20"/>
                <w:u w:val="none"/>
              </w:rPr>
              <w:t xml:space="preserve">(Ateco da </w:t>
            </w:r>
            <w:r w:rsidR="00303BB6">
              <w:rPr>
                <w:b/>
                <w:color w:val="auto"/>
                <w:sz w:val="20"/>
                <w:szCs w:val="20"/>
                <w:u w:val="none"/>
              </w:rPr>
              <w:t>45 a 47</w:t>
            </w:r>
            <w:r w:rsidR="008856C8">
              <w:rPr>
                <w:b/>
                <w:color w:val="auto"/>
                <w:sz w:val="20"/>
                <w:szCs w:val="20"/>
                <w:u w:val="none"/>
              </w:rPr>
              <w:t>)</w:t>
            </w:r>
          </w:p>
          <w:p w14:paraId="00BC2F18" w14:textId="77777777" w:rsidR="008856C8" w:rsidRDefault="008856C8" w:rsidP="008856C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E6769AF" w14:textId="784C652F" w:rsidR="008856C8" w:rsidRPr="00A960D3" w:rsidRDefault="008856C8" w:rsidP="008856C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11D8D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704E40BB" w14:textId="77777777" w:rsidR="008856C8" w:rsidRDefault="008856C8" w:rsidP="008856C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516294B" w14:textId="77777777" w:rsidR="008856C8" w:rsidRPr="00042B0E" w:rsidRDefault="008856C8" w:rsidP="008856C8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E3AD054" w14:textId="4412290A" w:rsidR="008856C8" w:rsidRPr="00FE239B" w:rsidRDefault="00B86172" w:rsidP="008856C8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8" w:history="1">
              <w:r w:rsidR="008856C8" w:rsidRPr="00FE239B">
                <w:rPr>
                  <w:rStyle w:val="Collegamentoipertestuale"/>
                  <w:b/>
                </w:rPr>
                <w:t>Tempis</w:t>
              </w:r>
              <w:r w:rsidR="008856C8" w:rsidRPr="00FE239B">
                <w:rPr>
                  <w:rStyle w:val="Collegamentoipertestuale"/>
                  <w:b/>
                </w:rPr>
                <w:t>t</w:t>
              </w:r>
              <w:r w:rsidR="008856C8" w:rsidRPr="00FE239B">
                <w:rPr>
                  <w:rStyle w:val="Collegamentoipertestuale"/>
                  <w:b/>
                </w:rPr>
                <w:t>ica</w:t>
              </w:r>
            </w:hyperlink>
            <w:r w:rsidR="008856C8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7156F530" w14:textId="77777777" w:rsidR="008856C8" w:rsidRDefault="008856C8" w:rsidP="008856C8">
            <w:pPr>
              <w:pStyle w:val="Rientrocorpodeltesto"/>
              <w:spacing w:after="0"/>
              <w:ind w:left="164"/>
              <w:jc w:val="both"/>
            </w:pPr>
          </w:p>
          <w:p w14:paraId="425AF029" w14:textId="18A48D66" w:rsidR="00DB7078" w:rsidRPr="00945B26" w:rsidRDefault="00B86172" w:rsidP="00DB707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8856C8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8856C8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8856C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856C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856C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DB7078" w:rsidRPr="00B87B85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DB7078" w:rsidRPr="00B87B85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DB7078" w:rsidRPr="00B87B85">
                <w:rPr>
                  <w:rStyle w:val="Collegamentoipertestuale"/>
                  <w:b/>
                  <w:sz w:val="20"/>
                  <w:szCs w:val="20"/>
                </w:rPr>
                <w:t>e 5^</w:t>
              </w:r>
            </w:hyperlink>
            <w:r w:rsidR="00DB7078" w:rsidRPr="00945B26">
              <w:rPr>
                <w:color w:val="0000FF"/>
                <w:sz w:val="20"/>
                <w:szCs w:val="20"/>
              </w:rPr>
              <w:t xml:space="preserve"> </w:t>
            </w:r>
            <w:r w:rsidR="00DB7078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B7078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6A5061B0" w14:textId="77777777" w:rsidR="008856C8" w:rsidRPr="00D84657" w:rsidRDefault="008856C8" w:rsidP="008856C8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F33F24F" w14:textId="63A9D506" w:rsidR="00276654" w:rsidRPr="0041512A" w:rsidRDefault="008856C8" w:rsidP="008856C8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</w:p>
        </w:tc>
      </w:tr>
    </w:tbl>
    <w:p w14:paraId="4436971B" w14:textId="77777777" w:rsidR="00342D58" w:rsidRDefault="00342D58">
      <w:pPr>
        <w:rPr>
          <w:b/>
        </w:rPr>
      </w:pPr>
    </w:p>
    <w:p w14:paraId="7D4FCFB4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D9C"/>
    <w:multiLevelType w:val="hybridMultilevel"/>
    <w:tmpl w:val="7F88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7BF1E80"/>
    <w:multiLevelType w:val="hybridMultilevel"/>
    <w:tmpl w:val="A08A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9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4"/>
  </w:num>
  <w:num w:numId="20">
    <w:abstractNumId w:val="15"/>
  </w:num>
  <w:num w:numId="21">
    <w:abstractNumId w:val="16"/>
  </w:num>
  <w:num w:numId="22">
    <w:abstractNumId w:val="2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116A"/>
    <w:rsid w:val="00041E7E"/>
    <w:rsid w:val="00043FA9"/>
    <w:rsid w:val="00071B68"/>
    <w:rsid w:val="000E4B7E"/>
    <w:rsid w:val="000F3ADF"/>
    <w:rsid w:val="00112873"/>
    <w:rsid w:val="00117F1E"/>
    <w:rsid w:val="0012159E"/>
    <w:rsid w:val="001B4E77"/>
    <w:rsid w:val="001D73AE"/>
    <w:rsid w:val="002003E5"/>
    <w:rsid w:val="00215D52"/>
    <w:rsid w:val="00220E5F"/>
    <w:rsid w:val="002210DE"/>
    <w:rsid w:val="0023487B"/>
    <w:rsid w:val="00237016"/>
    <w:rsid w:val="002706D8"/>
    <w:rsid w:val="00276654"/>
    <w:rsid w:val="00281114"/>
    <w:rsid w:val="00282A5F"/>
    <w:rsid w:val="002A4619"/>
    <w:rsid w:val="002A5D7C"/>
    <w:rsid w:val="002A6285"/>
    <w:rsid w:val="002A77E8"/>
    <w:rsid w:val="002B375D"/>
    <w:rsid w:val="002B6C24"/>
    <w:rsid w:val="00303BB6"/>
    <w:rsid w:val="0031523A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87F68"/>
    <w:rsid w:val="005930C1"/>
    <w:rsid w:val="005A769A"/>
    <w:rsid w:val="005C01FD"/>
    <w:rsid w:val="005C68B2"/>
    <w:rsid w:val="005C720B"/>
    <w:rsid w:val="005E5880"/>
    <w:rsid w:val="005F1CCE"/>
    <w:rsid w:val="005F21E3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F05DD"/>
    <w:rsid w:val="00705665"/>
    <w:rsid w:val="00714EBD"/>
    <w:rsid w:val="00737DA2"/>
    <w:rsid w:val="00746376"/>
    <w:rsid w:val="00757EC8"/>
    <w:rsid w:val="00763AB7"/>
    <w:rsid w:val="00764B7D"/>
    <w:rsid w:val="00774441"/>
    <w:rsid w:val="007D29FA"/>
    <w:rsid w:val="0080569E"/>
    <w:rsid w:val="0082478D"/>
    <w:rsid w:val="008665DB"/>
    <w:rsid w:val="00871E89"/>
    <w:rsid w:val="00872D0F"/>
    <w:rsid w:val="008756FA"/>
    <w:rsid w:val="00875A8F"/>
    <w:rsid w:val="008856C8"/>
    <w:rsid w:val="00897F79"/>
    <w:rsid w:val="008F77D3"/>
    <w:rsid w:val="009025A0"/>
    <w:rsid w:val="0090382A"/>
    <w:rsid w:val="00932258"/>
    <w:rsid w:val="00945B26"/>
    <w:rsid w:val="0097516F"/>
    <w:rsid w:val="00977047"/>
    <w:rsid w:val="009A4645"/>
    <w:rsid w:val="009A476D"/>
    <w:rsid w:val="009B07B1"/>
    <w:rsid w:val="009C0F33"/>
    <w:rsid w:val="009D00A5"/>
    <w:rsid w:val="009F62D7"/>
    <w:rsid w:val="00A000BF"/>
    <w:rsid w:val="00A06B50"/>
    <w:rsid w:val="00A123BB"/>
    <w:rsid w:val="00A5440D"/>
    <w:rsid w:val="00A602F5"/>
    <w:rsid w:val="00A81D46"/>
    <w:rsid w:val="00A84893"/>
    <w:rsid w:val="00AB3700"/>
    <w:rsid w:val="00B0731C"/>
    <w:rsid w:val="00B11D8D"/>
    <w:rsid w:val="00B66F7C"/>
    <w:rsid w:val="00B74DCB"/>
    <w:rsid w:val="00B86172"/>
    <w:rsid w:val="00B90E90"/>
    <w:rsid w:val="00BB2167"/>
    <w:rsid w:val="00BC019B"/>
    <w:rsid w:val="00BF42AE"/>
    <w:rsid w:val="00BF5221"/>
    <w:rsid w:val="00BF67A8"/>
    <w:rsid w:val="00C459E8"/>
    <w:rsid w:val="00C75D34"/>
    <w:rsid w:val="00C8385A"/>
    <w:rsid w:val="00C9233E"/>
    <w:rsid w:val="00C92A7C"/>
    <w:rsid w:val="00C92D90"/>
    <w:rsid w:val="00C95280"/>
    <w:rsid w:val="00CB4FB4"/>
    <w:rsid w:val="00CD592E"/>
    <w:rsid w:val="00CD7A44"/>
    <w:rsid w:val="00CE16FB"/>
    <w:rsid w:val="00CF2C56"/>
    <w:rsid w:val="00D02A9B"/>
    <w:rsid w:val="00D16B5E"/>
    <w:rsid w:val="00D441B7"/>
    <w:rsid w:val="00D46D3D"/>
    <w:rsid w:val="00D52EFB"/>
    <w:rsid w:val="00D5625E"/>
    <w:rsid w:val="00D96248"/>
    <w:rsid w:val="00DB7078"/>
    <w:rsid w:val="00DC5DC3"/>
    <w:rsid w:val="00DD18A1"/>
    <w:rsid w:val="00DD2BE3"/>
    <w:rsid w:val="00DD6833"/>
    <w:rsid w:val="00DF0435"/>
    <w:rsid w:val="00E25843"/>
    <w:rsid w:val="00E6197C"/>
    <w:rsid w:val="00E61C9E"/>
    <w:rsid w:val="00E660BB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14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7PA%20Tempistica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TECO/Ateco%20Commercio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2%20Settore%20Commercio%20fisso/CF22%20Vendita%20oggetti%20usati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../../TUR/Parte%205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UC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19</cp:revision>
  <dcterms:created xsi:type="dcterms:W3CDTF">2018-07-29T15:23:00Z</dcterms:created>
  <dcterms:modified xsi:type="dcterms:W3CDTF">2021-05-11T13:58:00Z</dcterms:modified>
</cp:coreProperties>
</file>